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4117B3">
      <w:pPr>
        <w:spacing w:before="101" w:line="230" w:lineRule="auto"/>
        <w:ind w:left="561"/>
        <w:rPr>
          <w:rFonts w:hint="default" w:ascii="黑体" w:hAnsi="黑体" w:eastAsia="黑体" w:cs="黑体"/>
          <w:sz w:val="31"/>
          <w:szCs w:val="31"/>
          <w:lang w:val="en-US" w:eastAsia="zh-CN"/>
        </w:rPr>
      </w:pPr>
      <w:r>
        <w:rPr>
          <w:rFonts w:ascii="黑体" w:hAnsi="黑体" w:eastAsia="黑体" w:cs="黑体"/>
          <w:spacing w:val="-4"/>
          <w:sz w:val="31"/>
          <w:szCs w:val="31"/>
          <w:lang w:eastAsia="zh-CN"/>
        </w:rPr>
        <w:t>附件</w:t>
      </w:r>
      <w:r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  <w:t>5</w:t>
      </w:r>
    </w:p>
    <w:p w14:paraId="17D5C088">
      <w:pPr>
        <w:spacing w:before="257" w:line="160" w:lineRule="auto"/>
        <w:jc w:val="center"/>
        <w:outlineLvl w:val="0"/>
        <w:rPr>
          <w:rFonts w:ascii="微软雅黑" w:hAnsi="微软雅黑" w:eastAsia="微软雅黑" w:cs="微软雅黑"/>
          <w:sz w:val="36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pacing w:val="3"/>
          <w:sz w:val="36"/>
          <w:szCs w:val="36"/>
          <w:lang w:eastAsia="zh-CN"/>
        </w:rPr>
        <w:t>优秀毕业生评选推荐书面材料评分表</w:t>
      </w:r>
    </w:p>
    <w:tbl>
      <w:tblPr>
        <w:tblStyle w:val="6"/>
        <w:tblW w:w="1502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8"/>
        <w:gridCol w:w="12400"/>
        <w:gridCol w:w="992"/>
        <w:gridCol w:w="1044"/>
      </w:tblGrid>
      <w:tr w14:paraId="12C11B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588" w:type="dxa"/>
            <w:vAlign w:val="center"/>
          </w:tcPr>
          <w:p w14:paraId="1C94BFD2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序号</w:t>
            </w:r>
          </w:p>
        </w:tc>
        <w:tc>
          <w:tcPr>
            <w:tcW w:w="12400" w:type="dxa"/>
            <w:vAlign w:val="center"/>
          </w:tcPr>
          <w:p w14:paraId="118F8B2C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赋分标准</w:t>
            </w:r>
          </w:p>
        </w:tc>
        <w:tc>
          <w:tcPr>
            <w:tcW w:w="992" w:type="dxa"/>
            <w:vAlign w:val="center"/>
          </w:tcPr>
          <w:p w14:paraId="4ADACD15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满分分值</w:t>
            </w:r>
          </w:p>
        </w:tc>
        <w:tc>
          <w:tcPr>
            <w:tcW w:w="1044" w:type="dxa"/>
            <w:vAlign w:val="center"/>
          </w:tcPr>
          <w:p w14:paraId="46FA7E03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自评分值</w:t>
            </w:r>
          </w:p>
        </w:tc>
      </w:tr>
      <w:tr w14:paraId="6681D7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588" w:type="dxa"/>
            <w:vAlign w:val="center"/>
          </w:tcPr>
          <w:p w14:paraId="15505701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1</w:t>
            </w:r>
          </w:p>
        </w:tc>
        <w:tc>
          <w:tcPr>
            <w:tcW w:w="12400" w:type="dxa"/>
          </w:tcPr>
          <w:p w14:paraId="462684F3">
            <w:pPr>
              <w:ind w:firstLine="420" w:firstLineChars="200"/>
              <w:jc w:val="both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具有坚定的政治方向，拥护中国共产党的领导，坚持党的路线、方针、政策，认真学习习近平新时代中国特色社会主义思想，自觉践行社会主义核心价值观；树立爱国主义思想，具有团结统一、爱好和平、勤劳勇敢、自强不息的精神。无妄议中央大政方</w:t>
            </w:r>
            <w:bookmarkStart w:id="0" w:name="_GoBack"/>
            <w:bookmarkEnd w:id="0"/>
            <w:r>
              <w:rPr>
                <w:rFonts w:hint="eastAsia" w:ascii="仿宋_GB2312" w:eastAsia="仿宋_GB2312"/>
                <w:lang w:eastAsia="zh-CN"/>
              </w:rPr>
              <w:t>针，制造、传播各类谣言等行为。</w:t>
            </w:r>
          </w:p>
        </w:tc>
        <w:tc>
          <w:tcPr>
            <w:tcW w:w="992" w:type="dxa"/>
            <w:vAlign w:val="center"/>
          </w:tcPr>
          <w:p w14:paraId="4EC731F9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eastAsia="仿宋_GB2312"/>
              </w:rPr>
              <w:t>30</w:t>
            </w:r>
          </w:p>
        </w:tc>
        <w:tc>
          <w:tcPr>
            <w:tcW w:w="1044" w:type="dxa"/>
            <w:vAlign w:val="center"/>
          </w:tcPr>
          <w:p w14:paraId="4AD4F32D">
            <w:pPr>
              <w:jc w:val="center"/>
              <w:rPr>
                <w:rFonts w:ascii="仿宋_GB2312" w:hAnsi="宋体" w:eastAsia="仿宋_GB2312" w:cs="宋体"/>
              </w:rPr>
            </w:pPr>
          </w:p>
        </w:tc>
      </w:tr>
      <w:tr w14:paraId="1C93A6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588" w:type="dxa"/>
            <w:vAlign w:val="center"/>
          </w:tcPr>
          <w:p w14:paraId="1E311390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2</w:t>
            </w:r>
          </w:p>
        </w:tc>
        <w:tc>
          <w:tcPr>
            <w:tcW w:w="12400" w:type="dxa"/>
          </w:tcPr>
          <w:p w14:paraId="5BC834EE">
            <w:pPr>
              <w:ind w:firstLine="420" w:firstLineChars="200"/>
              <w:jc w:val="both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模范遵守国家的法律、法规和学校的规章制度，严格执行学生行为准则，自觉维护社会稳定和民族团结。有优良的道德品质和良好的文明行为。</w:t>
            </w:r>
          </w:p>
        </w:tc>
        <w:tc>
          <w:tcPr>
            <w:tcW w:w="992" w:type="dxa"/>
            <w:vAlign w:val="center"/>
          </w:tcPr>
          <w:p w14:paraId="2AA38274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eastAsia="仿宋_GB2312"/>
              </w:rPr>
              <w:t>20</w:t>
            </w:r>
          </w:p>
        </w:tc>
        <w:tc>
          <w:tcPr>
            <w:tcW w:w="1044" w:type="dxa"/>
            <w:vAlign w:val="center"/>
          </w:tcPr>
          <w:p w14:paraId="5DD05682">
            <w:pPr>
              <w:jc w:val="center"/>
              <w:rPr>
                <w:rFonts w:ascii="仿宋_GB2312" w:hAnsi="宋体" w:eastAsia="仿宋_GB2312" w:cs="宋体"/>
              </w:rPr>
            </w:pPr>
          </w:p>
        </w:tc>
      </w:tr>
      <w:tr w14:paraId="6B405C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  <w:jc w:val="center"/>
        </w:trPr>
        <w:tc>
          <w:tcPr>
            <w:tcW w:w="588" w:type="dxa"/>
            <w:vAlign w:val="center"/>
          </w:tcPr>
          <w:p w14:paraId="675AC3DE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3</w:t>
            </w:r>
          </w:p>
        </w:tc>
        <w:tc>
          <w:tcPr>
            <w:tcW w:w="12400" w:type="dxa"/>
            <w:vAlign w:val="center"/>
          </w:tcPr>
          <w:p w14:paraId="20190C58">
            <w:pPr>
              <w:ind w:firstLine="420" w:firstLineChars="200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善于学习和吸收新知识，热爱所学专业，勤奋学习，成绩优异。按时修完教学计划的全部课程，取得相应的毕业证书、学位证书，在校期间学习成绩（文化课成绩）不低于年级排名前</w:t>
            </w:r>
            <w:r>
              <w:rPr>
                <w:rFonts w:hint="eastAsia" w:ascii="仿宋_GB2312" w:eastAsia="仿宋_GB2312"/>
                <w:lang w:eastAsia="zh-CN"/>
              </w:rPr>
              <w:t>30%</w:t>
            </w:r>
            <w:r>
              <w:rPr>
                <w:rFonts w:hint="eastAsia" w:ascii="仿宋_GB2312" w:hAnsi="宋体" w:eastAsia="仿宋_GB2312" w:cs="宋体"/>
                <w:lang w:eastAsia="zh-CN"/>
              </w:rPr>
              <w:t>。</w:t>
            </w:r>
          </w:p>
          <w:p w14:paraId="7BFB46A2">
            <w:pPr>
              <w:ind w:firstLine="420" w:firstLineChars="200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基础分</w:t>
            </w:r>
            <w:r>
              <w:rPr>
                <w:rFonts w:hint="eastAsia" w:ascii="仿宋_GB2312" w:eastAsia="仿宋_GB2312"/>
                <w:lang w:eastAsia="zh-CN"/>
              </w:rPr>
              <w:t>10</w:t>
            </w:r>
            <w:r>
              <w:rPr>
                <w:rFonts w:hint="eastAsia" w:ascii="仿宋_GB2312" w:hAnsi="宋体" w:eastAsia="仿宋_GB2312" w:cs="宋体"/>
                <w:lang w:eastAsia="zh-CN"/>
              </w:rPr>
              <w:t>分，成绩排名前</w:t>
            </w:r>
            <w:r>
              <w:rPr>
                <w:rFonts w:hint="eastAsia" w:ascii="仿宋_GB2312" w:eastAsia="仿宋_GB2312"/>
                <w:lang w:eastAsia="zh-CN"/>
              </w:rPr>
              <w:t>5%</w:t>
            </w:r>
            <w:r>
              <w:rPr>
                <w:rFonts w:hint="eastAsia" w:ascii="仿宋_GB2312" w:hAnsi="宋体" w:eastAsia="仿宋_GB2312" w:cs="宋体"/>
                <w:lang w:eastAsia="zh-CN"/>
              </w:rPr>
              <w:t>加</w:t>
            </w:r>
            <w:r>
              <w:rPr>
                <w:rFonts w:hint="eastAsia" w:ascii="仿宋_GB2312" w:eastAsia="仿宋_GB2312"/>
                <w:lang w:eastAsia="zh-CN"/>
              </w:rPr>
              <w:t>10</w:t>
            </w:r>
            <w:r>
              <w:rPr>
                <w:rFonts w:hint="eastAsia" w:ascii="仿宋_GB2312" w:hAnsi="宋体" w:eastAsia="仿宋_GB2312" w:cs="宋体"/>
                <w:lang w:eastAsia="zh-CN"/>
              </w:rPr>
              <w:t>分，</w:t>
            </w:r>
            <w:r>
              <w:rPr>
                <w:rFonts w:hint="eastAsia" w:ascii="仿宋_GB2312" w:eastAsia="仿宋_GB2312"/>
                <w:lang w:eastAsia="zh-CN"/>
              </w:rPr>
              <w:t>5%-10%</w:t>
            </w:r>
            <w:r>
              <w:rPr>
                <w:rFonts w:hint="eastAsia" w:ascii="仿宋_GB2312" w:hAnsi="宋体" w:eastAsia="仿宋_GB2312" w:cs="宋体"/>
                <w:lang w:eastAsia="zh-CN"/>
              </w:rPr>
              <w:t>加</w:t>
            </w:r>
            <w:r>
              <w:rPr>
                <w:rFonts w:hint="eastAsia" w:ascii="仿宋_GB2312" w:eastAsia="仿宋_GB2312"/>
                <w:lang w:eastAsia="zh-CN"/>
              </w:rPr>
              <w:t>8</w:t>
            </w:r>
            <w:r>
              <w:rPr>
                <w:rFonts w:hint="eastAsia" w:ascii="仿宋_GB2312" w:hAnsi="宋体" w:eastAsia="仿宋_GB2312" w:cs="宋体"/>
                <w:lang w:eastAsia="zh-CN"/>
              </w:rPr>
              <w:t>分，</w:t>
            </w:r>
            <w:r>
              <w:rPr>
                <w:rFonts w:hint="eastAsia" w:ascii="仿宋_GB2312" w:eastAsia="仿宋_GB2312"/>
                <w:lang w:eastAsia="zh-CN"/>
              </w:rPr>
              <w:t>10%-15%</w:t>
            </w:r>
            <w:r>
              <w:rPr>
                <w:rFonts w:hint="eastAsia" w:ascii="仿宋_GB2312" w:hAnsi="宋体" w:eastAsia="仿宋_GB2312" w:cs="宋体"/>
                <w:lang w:eastAsia="zh-CN"/>
              </w:rPr>
              <w:t>加</w:t>
            </w:r>
            <w:r>
              <w:rPr>
                <w:rFonts w:hint="eastAsia" w:ascii="仿宋_GB2312" w:eastAsia="仿宋_GB2312"/>
                <w:lang w:eastAsia="zh-CN"/>
              </w:rPr>
              <w:t>6</w:t>
            </w:r>
            <w:r>
              <w:rPr>
                <w:rFonts w:hint="eastAsia" w:ascii="仿宋_GB2312" w:hAnsi="宋体" w:eastAsia="仿宋_GB2312" w:cs="宋体"/>
                <w:lang w:eastAsia="zh-CN"/>
              </w:rPr>
              <w:t>分，</w:t>
            </w:r>
            <w:r>
              <w:rPr>
                <w:rFonts w:hint="eastAsia" w:ascii="仿宋_GB2312" w:eastAsia="仿宋_GB2312"/>
                <w:lang w:eastAsia="zh-CN"/>
              </w:rPr>
              <w:t>15%-20%</w:t>
            </w:r>
            <w:r>
              <w:rPr>
                <w:rFonts w:hint="eastAsia" w:ascii="仿宋_GB2312" w:hAnsi="宋体" w:eastAsia="仿宋_GB2312" w:cs="宋体"/>
                <w:lang w:eastAsia="zh-CN"/>
              </w:rPr>
              <w:t>加</w:t>
            </w:r>
            <w:r>
              <w:rPr>
                <w:rFonts w:hint="eastAsia" w:ascii="仿宋_GB2312" w:eastAsia="仿宋_GB2312"/>
                <w:lang w:eastAsia="zh-CN"/>
              </w:rPr>
              <w:t>4</w:t>
            </w:r>
            <w:r>
              <w:rPr>
                <w:rFonts w:hint="eastAsia" w:ascii="仿宋_GB2312" w:hAnsi="宋体" w:eastAsia="仿宋_GB2312" w:cs="宋体"/>
                <w:lang w:eastAsia="zh-CN"/>
              </w:rPr>
              <w:t>分，</w:t>
            </w:r>
            <w:r>
              <w:rPr>
                <w:rFonts w:hint="eastAsia" w:ascii="仿宋_GB2312" w:eastAsia="仿宋_GB2312"/>
                <w:lang w:eastAsia="zh-CN"/>
              </w:rPr>
              <w:t>20%-25%</w:t>
            </w:r>
            <w:r>
              <w:rPr>
                <w:rFonts w:hint="eastAsia" w:ascii="仿宋_GB2312" w:hAnsi="宋体" w:eastAsia="仿宋_GB2312" w:cs="宋体"/>
                <w:lang w:eastAsia="zh-CN"/>
              </w:rPr>
              <w:t>加</w:t>
            </w:r>
            <w:r>
              <w:rPr>
                <w:rFonts w:hint="eastAsia" w:ascii="仿宋_GB2312" w:eastAsia="仿宋_GB2312"/>
                <w:lang w:eastAsia="zh-CN"/>
              </w:rPr>
              <w:t>2</w:t>
            </w:r>
            <w:r>
              <w:rPr>
                <w:rFonts w:hint="eastAsia" w:ascii="仿宋_GB2312" w:hAnsi="宋体" w:eastAsia="仿宋_GB2312" w:cs="宋体"/>
                <w:lang w:eastAsia="zh-CN"/>
              </w:rPr>
              <w:t>分，</w:t>
            </w:r>
            <w:r>
              <w:rPr>
                <w:rFonts w:hint="eastAsia" w:ascii="仿宋_GB2312" w:eastAsia="仿宋_GB2312"/>
                <w:lang w:eastAsia="zh-CN"/>
              </w:rPr>
              <w:t>25%-30%</w:t>
            </w:r>
            <w:r>
              <w:rPr>
                <w:rFonts w:hint="eastAsia" w:ascii="仿宋_GB2312" w:hAnsi="宋体" w:eastAsia="仿宋_GB2312" w:cs="宋体"/>
                <w:lang w:eastAsia="zh-CN"/>
              </w:rPr>
              <w:t>不加分。</w:t>
            </w:r>
          </w:p>
        </w:tc>
        <w:tc>
          <w:tcPr>
            <w:tcW w:w="992" w:type="dxa"/>
            <w:vAlign w:val="center"/>
          </w:tcPr>
          <w:p w14:paraId="71D1BDAB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20</w:t>
            </w:r>
          </w:p>
        </w:tc>
        <w:tc>
          <w:tcPr>
            <w:tcW w:w="1044" w:type="dxa"/>
            <w:vAlign w:val="center"/>
          </w:tcPr>
          <w:p w14:paraId="16663D0A">
            <w:pPr>
              <w:jc w:val="center"/>
              <w:rPr>
                <w:rFonts w:ascii="仿宋_GB2312" w:eastAsia="仿宋_GB2312"/>
              </w:rPr>
            </w:pPr>
          </w:p>
        </w:tc>
      </w:tr>
      <w:tr w14:paraId="27C355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4" w:hRule="atLeast"/>
          <w:jc w:val="center"/>
        </w:trPr>
        <w:tc>
          <w:tcPr>
            <w:tcW w:w="588" w:type="dxa"/>
            <w:vAlign w:val="center"/>
          </w:tcPr>
          <w:p w14:paraId="1F1A6FD9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4</w:t>
            </w:r>
          </w:p>
        </w:tc>
        <w:tc>
          <w:tcPr>
            <w:tcW w:w="12400" w:type="dxa"/>
            <w:vAlign w:val="center"/>
          </w:tcPr>
          <w:p w14:paraId="28754A9B">
            <w:pPr>
              <w:ind w:firstLine="420" w:firstLineChars="200"/>
              <w:rPr>
                <w:rFonts w:hint="eastAsia"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积极参加学术、科研、创新创业等活动，有较强的运用知识分析解决问题的能力和开拓创新精神，在某一方面有突出表现。在学术、科研、创新创业大赛、技能大赛等方面取得优异成绩、有重要发明创造或为社会做出突出贡献的毕业生，在同等条件下优先推荐评选。</w:t>
            </w:r>
          </w:p>
          <w:p w14:paraId="717EA7E3">
            <w:pPr>
              <w:ind w:firstLine="420" w:firstLineChars="200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（基础分4分，个人获得荣誉或表彰，省级每项加2分，国家级每项加4分；所在集体获得荣誉或奖励，省级每项加1分，国家级每项加2分，集体加分限署名位次前三名。）</w:t>
            </w:r>
          </w:p>
        </w:tc>
        <w:tc>
          <w:tcPr>
            <w:tcW w:w="992" w:type="dxa"/>
            <w:vAlign w:val="center"/>
          </w:tcPr>
          <w:p w14:paraId="22FB9957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10</w:t>
            </w:r>
          </w:p>
        </w:tc>
        <w:tc>
          <w:tcPr>
            <w:tcW w:w="1044" w:type="dxa"/>
            <w:vAlign w:val="center"/>
          </w:tcPr>
          <w:p w14:paraId="29366B69">
            <w:pPr>
              <w:jc w:val="center"/>
              <w:rPr>
                <w:rFonts w:ascii="仿宋_GB2312" w:eastAsia="仿宋_GB2312"/>
              </w:rPr>
            </w:pPr>
          </w:p>
        </w:tc>
      </w:tr>
      <w:tr w14:paraId="00EBB4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  <w:jc w:val="center"/>
        </w:trPr>
        <w:tc>
          <w:tcPr>
            <w:tcW w:w="588" w:type="dxa"/>
            <w:vAlign w:val="center"/>
          </w:tcPr>
          <w:p w14:paraId="0BB74F69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5</w:t>
            </w:r>
          </w:p>
        </w:tc>
        <w:tc>
          <w:tcPr>
            <w:tcW w:w="12400" w:type="dxa"/>
            <w:vAlign w:val="center"/>
          </w:tcPr>
          <w:p w14:paraId="1DA9F926">
            <w:pPr>
              <w:ind w:firstLine="420" w:firstLineChars="200"/>
              <w:rPr>
                <w:rFonts w:hint="eastAsia"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积极参加社会实践、集体活动、志愿服务、社会工作，模范带头作用突出，能运用所学知识分析解决问题，有突出的表现和事迹。</w:t>
            </w:r>
          </w:p>
          <w:p w14:paraId="26301F91">
            <w:pPr>
              <w:ind w:firstLine="420" w:firstLineChars="200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（基础分4分，个人获得荣誉或表彰，省级每项加2分，国家级每项加4分；所在集体获得荣誉或奖励，省级每项加1分，国家级每项加2分，集体加分限署名位次前三名。）</w:t>
            </w:r>
          </w:p>
        </w:tc>
        <w:tc>
          <w:tcPr>
            <w:tcW w:w="992" w:type="dxa"/>
            <w:vAlign w:val="center"/>
          </w:tcPr>
          <w:p w14:paraId="1F37B4D3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10</w:t>
            </w:r>
          </w:p>
        </w:tc>
        <w:tc>
          <w:tcPr>
            <w:tcW w:w="1044" w:type="dxa"/>
            <w:vAlign w:val="center"/>
          </w:tcPr>
          <w:p w14:paraId="3720D081">
            <w:pPr>
              <w:jc w:val="center"/>
              <w:rPr>
                <w:rFonts w:ascii="仿宋_GB2312" w:eastAsia="仿宋_GB2312"/>
              </w:rPr>
            </w:pPr>
          </w:p>
        </w:tc>
      </w:tr>
      <w:tr w14:paraId="02C951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  <w:jc w:val="center"/>
        </w:trPr>
        <w:tc>
          <w:tcPr>
            <w:tcW w:w="588" w:type="dxa"/>
            <w:vAlign w:val="center"/>
          </w:tcPr>
          <w:p w14:paraId="6D6A834C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6</w:t>
            </w:r>
          </w:p>
        </w:tc>
        <w:tc>
          <w:tcPr>
            <w:tcW w:w="12400" w:type="dxa"/>
            <w:vAlign w:val="center"/>
          </w:tcPr>
          <w:p w14:paraId="6A59842E">
            <w:pPr>
              <w:ind w:firstLine="420" w:firstLineChars="200"/>
              <w:rPr>
                <w:rFonts w:hint="eastAsia"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积极参加体育锻炼和文娱活动，有健康的身体、良好的卫生习惯及健康的心理素质，达到《国家体育锻炼标准》，具有积极、健康、向上的精神风貌。</w:t>
            </w:r>
          </w:p>
          <w:p w14:paraId="55187410">
            <w:pPr>
              <w:ind w:firstLine="420" w:firstLineChars="200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（基础分2分，个人获得荣誉或表彰，省级每项加1分，国家级每项加2分；所在集体获得荣誉或奖励，省级每项加0.5分，国家级每项加1分，集体加分限署名位次前三名。）</w:t>
            </w:r>
          </w:p>
        </w:tc>
        <w:tc>
          <w:tcPr>
            <w:tcW w:w="992" w:type="dxa"/>
            <w:vAlign w:val="center"/>
          </w:tcPr>
          <w:p w14:paraId="262978B5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5</w:t>
            </w:r>
          </w:p>
        </w:tc>
        <w:tc>
          <w:tcPr>
            <w:tcW w:w="1044" w:type="dxa"/>
            <w:vAlign w:val="center"/>
          </w:tcPr>
          <w:p w14:paraId="20088B00">
            <w:pPr>
              <w:jc w:val="center"/>
              <w:rPr>
                <w:rFonts w:ascii="仿宋_GB2312" w:eastAsia="仿宋_GB2312"/>
              </w:rPr>
            </w:pPr>
          </w:p>
        </w:tc>
      </w:tr>
      <w:tr w14:paraId="642F39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588" w:type="dxa"/>
            <w:vAlign w:val="center"/>
          </w:tcPr>
          <w:p w14:paraId="003FAED8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7</w:t>
            </w:r>
          </w:p>
        </w:tc>
        <w:tc>
          <w:tcPr>
            <w:tcW w:w="12400" w:type="dxa"/>
            <w:vAlign w:val="center"/>
          </w:tcPr>
          <w:p w14:paraId="192F01BB">
            <w:pPr>
              <w:ind w:firstLine="420" w:firstLineChars="200"/>
              <w:rPr>
                <w:rFonts w:hint="eastAsia"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积极响应号召应征入伍，献身国防事业，自愿投身边远地区、艰苦行业和我省县级以下乡镇基层就业创业的毕业生，有积极合理的成才观、职业观、就业观，在同等条件下优先推荐评选。</w:t>
            </w:r>
          </w:p>
          <w:p w14:paraId="319D6252">
            <w:pPr>
              <w:ind w:firstLine="420" w:firstLineChars="200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（已落实就业单位基础分3分，到部队、基层单位、留省就业、艰苦行业等加5分。）</w:t>
            </w:r>
          </w:p>
        </w:tc>
        <w:tc>
          <w:tcPr>
            <w:tcW w:w="992" w:type="dxa"/>
            <w:vAlign w:val="center"/>
          </w:tcPr>
          <w:p w14:paraId="7DD1A0A1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5</w:t>
            </w:r>
          </w:p>
        </w:tc>
        <w:tc>
          <w:tcPr>
            <w:tcW w:w="1044" w:type="dxa"/>
            <w:vAlign w:val="center"/>
          </w:tcPr>
          <w:p w14:paraId="6E0C2D35">
            <w:pPr>
              <w:jc w:val="center"/>
              <w:rPr>
                <w:rFonts w:ascii="仿宋_GB2312" w:eastAsia="仿宋_GB2312"/>
              </w:rPr>
            </w:pPr>
          </w:p>
        </w:tc>
      </w:tr>
    </w:tbl>
    <w:p w14:paraId="61D3532B">
      <w:pPr>
        <w:spacing w:line="300" w:lineRule="auto"/>
        <w:rPr>
          <w:rFonts w:ascii="仿宋_GB2312" w:hAnsi="宋体" w:eastAsia="仿宋_GB2312" w:cs="宋体"/>
          <w:b/>
          <w:bCs/>
          <w:sz w:val="24"/>
          <w:szCs w:val="24"/>
          <w:lang w:eastAsia="zh-CN"/>
        </w:rPr>
      </w:pPr>
    </w:p>
    <w:p w14:paraId="2DEE9583">
      <w:pPr>
        <w:spacing w:line="300" w:lineRule="auto"/>
        <w:rPr>
          <w:rFonts w:ascii="仿宋_GB2312" w:hAnsi="宋体" w:eastAsia="仿宋_GB2312" w:cs="宋体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b/>
          <w:bCs/>
          <w:sz w:val="24"/>
          <w:szCs w:val="24"/>
          <w:lang w:eastAsia="zh-CN"/>
        </w:rPr>
        <w:t>★注：以上七个方面分值需由申请人完成自评，并提供对应的佐证材料。佐证材料按照顺序标清顺序直接附在本页后，完成后，将此</w:t>
      </w:r>
      <w:r>
        <w:rPr>
          <w:rFonts w:hint="eastAsia" w:ascii="仿宋_GB2312" w:eastAsia="仿宋_GB2312"/>
          <w:b/>
          <w:bCs/>
          <w:sz w:val="24"/>
          <w:szCs w:val="24"/>
          <w:lang w:eastAsia="zh-CN"/>
        </w:rPr>
        <w:t>WORD文件</w:t>
      </w:r>
      <w:r>
        <w:rPr>
          <w:rFonts w:hint="eastAsia" w:ascii="仿宋_GB2312" w:hAnsi="宋体" w:eastAsia="仿宋_GB2312" w:cs="宋体"/>
          <w:b/>
          <w:bCs/>
          <w:sz w:val="24"/>
          <w:szCs w:val="24"/>
          <w:lang w:eastAsia="zh-CN"/>
        </w:rPr>
        <w:t>命名为</w:t>
      </w:r>
      <w:r>
        <w:rPr>
          <w:rFonts w:hint="eastAsia" w:ascii="仿宋_GB2312" w:eastAsia="仿宋_GB2312"/>
          <w:b/>
          <w:bCs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b/>
          <w:bCs/>
          <w:sz w:val="24"/>
          <w:szCs w:val="24"/>
          <w:lang w:eastAsia="zh-CN"/>
        </w:rPr>
        <w:t>学号</w:t>
      </w:r>
      <w:r>
        <w:rPr>
          <w:rFonts w:hint="eastAsia" w:ascii="仿宋_GB2312" w:eastAsia="仿宋_GB2312"/>
          <w:b/>
          <w:bCs/>
          <w:sz w:val="24"/>
          <w:szCs w:val="24"/>
          <w:lang w:eastAsia="zh-CN"/>
        </w:rPr>
        <w:t>-</w:t>
      </w:r>
      <w:r>
        <w:rPr>
          <w:rFonts w:hint="eastAsia" w:ascii="仿宋_GB2312" w:hAnsi="宋体" w:eastAsia="仿宋_GB2312" w:cs="宋体"/>
          <w:b/>
          <w:bCs/>
          <w:sz w:val="24"/>
          <w:szCs w:val="24"/>
          <w:lang w:eastAsia="zh-CN"/>
        </w:rPr>
        <w:t>姓名</w:t>
      </w:r>
      <w:r>
        <w:rPr>
          <w:rFonts w:hint="eastAsia" w:ascii="仿宋_GB2312" w:eastAsia="仿宋_GB2312"/>
          <w:b/>
          <w:bCs/>
          <w:sz w:val="24"/>
          <w:szCs w:val="24"/>
          <w:lang w:eastAsia="zh-CN"/>
        </w:rPr>
        <w:t>-</w:t>
      </w:r>
      <w:r>
        <w:rPr>
          <w:rFonts w:hint="eastAsia" w:ascii="仿宋_GB2312" w:hAnsi="宋体" w:eastAsia="仿宋_GB2312" w:cs="宋体"/>
          <w:b/>
          <w:bCs/>
          <w:sz w:val="24"/>
          <w:szCs w:val="24"/>
          <w:lang w:eastAsia="zh-CN"/>
        </w:rPr>
        <w:t>书面材料评分表</w:t>
      </w:r>
      <w:r>
        <w:rPr>
          <w:rFonts w:hint="eastAsia" w:ascii="仿宋_GB2312" w:eastAsia="仿宋_GB2312"/>
          <w:b/>
          <w:bCs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>。</w:t>
      </w:r>
    </w:p>
    <w:p w14:paraId="77E1688E">
      <w:pPr>
        <w:spacing w:line="300" w:lineRule="auto"/>
        <w:rPr>
          <w:rFonts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佐证材料：</w:t>
      </w:r>
    </w:p>
    <w:sectPr>
      <w:footerReference r:id="rId3" w:type="default"/>
      <w:pgSz w:w="16839" w:h="11906" w:orient="landscape"/>
      <w:pgMar w:top="1055" w:right="1431" w:bottom="1056" w:left="1127" w:header="0" w:footer="87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cs="Times New Roman"/>
      </w:rPr>
      <w:id w:val="1330261481"/>
      <w:docPartObj>
        <w:docPartGallery w:val="autotext"/>
      </w:docPartObj>
    </w:sdtPr>
    <w:sdtEndPr>
      <w:rPr>
        <w:rFonts w:ascii="Times New Roman" w:hAnsi="Times New Roman" w:cs="Times New Roman"/>
      </w:rPr>
    </w:sdtEndPr>
    <w:sdtContent>
      <w:p w14:paraId="14B96BE5">
        <w:pPr>
          <w:pStyle w:val="2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 w:eastAsia="zh-CN"/>
          </w:rPr>
          <w:t>2</w:t>
        </w:r>
        <w:r>
          <w:rPr>
            <w:rFonts w:ascii="Times New Roman" w:hAnsi="Times New Roman" w:cs="Times New Roma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NzU5ZTJmZTAyYThlMzk5OGQ1NGZhOGJhYWQ2NTBmZDUifQ=="/>
  </w:docVars>
  <w:rsids>
    <w:rsidRoot w:val="005A36E1"/>
    <w:rsid w:val="0001790A"/>
    <w:rsid w:val="000F031A"/>
    <w:rsid w:val="000F7933"/>
    <w:rsid w:val="0036489D"/>
    <w:rsid w:val="00494452"/>
    <w:rsid w:val="00573669"/>
    <w:rsid w:val="005A36E1"/>
    <w:rsid w:val="0069428D"/>
    <w:rsid w:val="0073430C"/>
    <w:rsid w:val="00792B9B"/>
    <w:rsid w:val="007D017B"/>
    <w:rsid w:val="008F132B"/>
    <w:rsid w:val="00975FCA"/>
    <w:rsid w:val="00A946D0"/>
    <w:rsid w:val="00AD1CC4"/>
    <w:rsid w:val="00C735DD"/>
    <w:rsid w:val="00E44753"/>
    <w:rsid w:val="00F4676F"/>
    <w:rsid w:val="175C6F6A"/>
    <w:rsid w:val="1876405C"/>
    <w:rsid w:val="22FA4903"/>
    <w:rsid w:val="2D735A67"/>
    <w:rsid w:val="30B4594F"/>
    <w:rsid w:val="3CB007F8"/>
    <w:rsid w:val="3CFB6421"/>
    <w:rsid w:val="4B2C0426"/>
    <w:rsid w:val="50720FD1"/>
    <w:rsid w:val="58306639"/>
    <w:rsid w:val="62F56747"/>
    <w:rsid w:val="64D23995"/>
    <w:rsid w:val="669E4872"/>
    <w:rsid w:val="6D0D5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